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E23" w:rsidRDefault="008B1766">
      <w:pPr>
        <w:keepNext/>
        <w:keepLines/>
        <w:spacing w:before="40" w:after="0"/>
        <w:rPr>
          <w:rFonts w:ascii="Calibri" w:eastAsia="Calibri" w:hAnsi="Calibri" w:cs="Calibri"/>
        </w:rPr>
      </w:pPr>
      <w:r>
        <w:object w:dxaOrig="1497" w:dyaOrig="1497">
          <v:rect id="_x0000_i1034" style="width:75pt;height:75pt" o:ole="" o:preferrelative="t" stroked="f">
            <v:imagedata r:id="rId7" o:title=""/>
          </v:rect>
          <o:OLEObject Type="Embed" ProgID="StaticMetafile" ShapeID="_x0000_i1034" DrawAspect="Content" ObjectID="_1559037153" r:id="rId8"/>
        </w:object>
      </w:r>
      <w:r>
        <w:object w:dxaOrig="1587" w:dyaOrig="967">
          <v:rect id="rectole0000000000" o:spid="_x0000_i1025" style="width:79.5pt;height:48pt" o:ole="" o:preferrelative="t" stroked="f">
            <v:imagedata r:id="rId9" o:title=""/>
          </v:rect>
          <o:OLEObject Type="Embed" ProgID="StaticMetafile" ShapeID="rectole0000000000" DrawAspect="Content" ObjectID="_1559037154" r:id="rId10"/>
        </w:object>
      </w:r>
      <w:bookmarkStart w:id="0" w:name="_GoBack"/>
      <w:bookmarkEnd w:id="0"/>
    </w:p>
    <w:p w:rsidR="00263E23" w:rsidRDefault="008B1766">
      <w:pPr>
        <w:keepNext/>
        <w:keepLines/>
        <w:spacing w:before="40" w:after="0"/>
        <w:rPr>
          <w:rFonts w:ascii="Calibri" w:eastAsia="Calibri" w:hAnsi="Calibri" w:cs="Calibri"/>
          <w:b/>
          <w:sz w:val="48"/>
        </w:rPr>
      </w:pPr>
      <w:proofErr w:type="spellStart"/>
      <w:r>
        <w:rPr>
          <w:rFonts w:ascii="Calibri" w:eastAsia="Calibri" w:hAnsi="Calibri" w:cs="Calibri"/>
          <w:b/>
          <w:sz w:val="48"/>
        </w:rPr>
        <w:t>Wzór</w:t>
      </w:r>
      <w:proofErr w:type="spellEnd"/>
      <w:r>
        <w:rPr>
          <w:rFonts w:ascii="Calibri" w:eastAsia="Calibri" w:hAnsi="Calibri" w:cs="Calibri"/>
          <w:b/>
          <w:sz w:val="48"/>
        </w:rPr>
        <w:t xml:space="preserve"> </w:t>
      </w:r>
      <w:proofErr w:type="spellStart"/>
      <w:r>
        <w:rPr>
          <w:rFonts w:ascii="Calibri" w:eastAsia="Calibri" w:hAnsi="Calibri" w:cs="Calibri"/>
          <w:b/>
          <w:sz w:val="48"/>
        </w:rPr>
        <w:t>rejestru</w:t>
      </w:r>
      <w:proofErr w:type="spellEnd"/>
      <w:r>
        <w:rPr>
          <w:rFonts w:ascii="Calibri" w:eastAsia="Calibri" w:hAnsi="Calibri" w:cs="Calibri"/>
          <w:b/>
          <w:sz w:val="48"/>
        </w:rPr>
        <w:t xml:space="preserve"> </w:t>
      </w:r>
      <w:proofErr w:type="spellStart"/>
      <w:r>
        <w:rPr>
          <w:rFonts w:ascii="Calibri" w:eastAsia="Calibri" w:hAnsi="Calibri" w:cs="Calibri"/>
          <w:b/>
          <w:sz w:val="48"/>
        </w:rPr>
        <w:t>danych</w:t>
      </w:r>
      <w:proofErr w:type="spellEnd"/>
      <w:r>
        <w:rPr>
          <w:rFonts w:ascii="Calibri" w:eastAsia="Calibri" w:hAnsi="Calibri" w:cs="Calibri"/>
          <w:b/>
          <w:sz w:val="48"/>
        </w:rPr>
        <w:t xml:space="preserve"> o </w:t>
      </w:r>
      <w:proofErr w:type="spellStart"/>
      <w:r>
        <w:rPr>
          <w:rFonts w:ascii="Calibri" w:eastAsia="Calibri" w:hAnsi="Calibri" w:cs="Calibri"/>
          <w:b/>
          <w:sz w:val="48"/>
        </w:rPr>
        <w:t>zużyciu</w:t>
      </w:r>
      <w:proofErr w:type="spellEnd"/>
      <w:r>
        <w:rPr>
          <w:rFonts w:ascii="Calibri" w:eastAsia="Calibri" w:hAnsi="Calibri" w:cs="Calibri"/>
          <w:b/>
          <w:sz w:val="48"/>
        </w:rPr>
        <w:t xml:space="preserve"> </w:t>
      </w:r>
      <w:proofErr w:type="spellStart"/>
      <w:r>
        <w:rPr>
          <w:rFonts w:ascii="Calibri" w:eastAsia="Calibri" w:hAnsi="Calibri" w:cs="Calibri"/>
          <w:b/>
          <w:sz w:val="48"/>
        </w:rPr>
        <w:t>energii</w:t>
      </w:r>
      <w:proofErr w:type="spellEnd"/>
      <w:r>
        <w:rPr>
          <w:rFonts w:ascii="Calibri" w:eastAsia="Calibri" w:hAnsi="Calibri" w:cs="Calibri"/>
          <w:b/>
          <w:sz w:val="48"/>
        </w:rPr>
        <w:t xml:space="preserve"> </w:t>
      </w:r>
    </w:p>
    <w:p w:rsidR="00263E23" w:rsidRDefault="00263E23">
      <w:pPr>
        <w:rPr>
          <w:rFonts w:ascii="Calibri" w:eastAsia="Calibri" w:hAnsi="Calibri" w:cs="Calibri"/>
        </w:rPr>
      </w:pPr>
    </w:p>
    <w:p w:rsidR="00263E23" w:rsidRDefault="008B1766">
      <w:pPr>
        <w:numPr>
          <w:ilvl w:val="0"/>
          <w:numId w:val="1"/>
        </w:numPr>
        <w:spacing w:after="120"/>
        <w:ind w:left="714" w:hanging="357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Zdecyduj</w:t>
      </w:r>
      <w:proofErr w:type="spellEnd"/>
      <w:r>
        <w:rPr>
          <w:rFonts w:ascii="Calibri" w:eastAsia="Calibri" w:hAnsi="Calibri" w:cs="Calibri"/>
        </w:rPr>
        <w:t xml:space="preserve">, co </w:t>
      </w:r>
      <w:proofErr w:type="spellStart"/>
      <w:r>
        <w:rPr>
          <w:rFonts w:ascii="Calibri" w:eastAsia="Calibri" w:hAnsi="Calibri" w:cs="Calibri"/>
        </w:rPr>
        <w:t>jaki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okres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odczytywać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liczniki</w:t>
      </w:r>
      <w:proofErr w:type="spellEnd"/>
      <w:r>
        <w:rPr>
          <w:rFonts w:ascii="Calibri" w:eastAsia="Calibri" w:hAnsi="Calibri" w:cs="Calibri"/>
        </w:rPr>
        <w:t xml:space="preserve"> – co </w:t>
      </w:r>
      <w:proofErr w:type="spellStart"/>
      <w:r>
        <w:rPr>
          <w:rFonts w:ascii="Calibri" w:eastAsia="Calibri" w:hAnsi="Calibri" w:cs="Calibri"/>
        </w:rPr>
        <w:t>miesiąc</w:t>
      </w:r>
      <w:proofErr w:type="spellEnd"/>
      <w:r>
        <w:rPr>
          <w:rFonts w:ascii="Calibri" w:eastAsia="Calibri" w:hAnsi="Calibri" w:cs="Calibri"/>
        </w:rPr>
        <w:t xml:space="preserve">, co </w:t>
      </w:r>
      <w:proofErr w:type="spellStart"/>
      <w:r>
        <w:rPr>
          <w:rFonts w:ascii="Calibri" w:eastAsia="Calibri" w:hAnsi="Calibri" w:cs="Calibri"/>
        </w:rPr>
        <w:t>tydzień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codziennie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ustal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termin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odczytów</w:t>
      </w:r>
      <w:proofErr w:type="spellEnd"/>
      <w:r>
        <w:rPr>
          <w:rFonts w:ascii="Calibri" w:eastAsia="Calibri" w:hAnsi="Calibri" w:cs="Calibri"/>
        </w:rPr>
        <w:t xml:space="preserve">, np. </w:t>
      </w:r>
      <w:proofErr w:type="spellStart"/>
      <w:r>
        <w:rPr>
          <w:rFonts w:ascii="Calibri" w:eastAsia="Calibri" w:hAnsi="Calibri" w:cs="Calibri"/>
        </w:rPr>
        <w:t>pierwszy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dzie</w:t>
      </w:r>
      <w:r>
        <w:rPr>
          <w:rFonts w:ascii="Calibri" w:eastAsia="Calibri" w:hAnsi="Calibri" w:cs="Calibri"/>
        </w:rPr>
        <w:t>ń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roboczy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miesiąca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lub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każdy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poniedziałek</w:t>
      </w:r>
      <w:proofErr w:type="spellEnd"/>
      <w:r>
        <w:rPr>
          <w:rFonts w:ascii="Calibri" w:eastAsia="Calibri" w:hAnsi="Calibri" w:cs="Calibri"/>
        </w:rPr>
        <w:t xml:space="preserve">. </w:t>
      </w:r>
    </w:p>
    <w:p w:rsidR="00263E23" w:rsidRDefault="008B1766">
      <w:pPr>
        <w:numPr>
          <w:ilvl w:val="0"/>
          <w:numId w:val="1"/>
        </w:numPr>
        <w:spacing w:after="120"/>
        <w:ind w:left="714" w:hanging="357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Wyznacz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osobę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odpowiedzialną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za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odczyty</w:t>
      </w:r>
      <w:proofErr w:type="spellEnd"/>
      <w:r>
        <w:rPr>
          <w:rFonts w:ascii="Calibri" w:eastAsia="Calibri" w:hAnsi="Calibri" w:cs="Calibri"/>
        </w:rPr>
        <w:t xml:space="preserve">, a </w:t>
      </w:r>
      <w:proofErr w:type="spellStart"/>
      <w:r>
        <w:rPr>
          <w:rFonts w:ascii="Calibri" w:eastAsia="Calibri" w:hAnsi="Calibri" w:cs="Calibri"/>
        </w:rPr>
        <w:t>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wypadek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jej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nieobecności</w:t>
      </w:r>
      <w:proofErr w:type="spellEnd"/>
      <w:r>
        <w:rPr>
          <w:rFonts w:ascii="Calibri" w:eastAsia="Calibri" w:hAnsi="Calibri" w:cs="Calibri"/>
        </w:rPr>
        <w:t xml:space="preserve"> – </w:t>
      </w:r>
      <w:proofErr w:type="spellStart"/>
      <w:r>
        <w:rPr>
          <w:rFonts w:ascii="Calibri" w:eastAsia="Calibri" w:hAnsi="Calibri" w:cs="Calibri"/>
        </w:rPr>
        <w:t>zastępcę</w:t>
      </w:r>
      <w:proofErr w:type="spellEnd"/>
      <w:r>
        <w:rPr>
          <w:rFonts w:ascii="Calibri" w:eastAsia="Calibri" w:hAnsi="Calibri" w:cs="Calibri"/>
        </w:rPr>
        <w:t xml:space="preserve">. </w:t>
      </w:r>
    </w:p>
    <w:p w:rsidR="00263E23" w:rsidRDefault="008B1766">
      <w:pPr>
        <w:numPr>
          <w:ilvl w:val="0"/>
          <w:numId w:val="1"/>
        </w:numPr>
        <w:spacing w:after="120"/>
        <w:ind w:left="714" w:hanging="357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Pamiętaj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że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większość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liczników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wskazuje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łączne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zużycie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energii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więc</w:t>
      </w:r>
      <w:proofErr w:type="spellEnd"/>
      <w:r>
        <w:rPr>
          <w:rFonts w:ascii="Calibri" w:eastAsia="Calibri" w:hAnsi="Calibri" w:cs="Calibri"/>
        </w:rPr>
        <w:t xml:space="preserve"> aby </w:t>
      </w:r>
      <w:proofErr w:type="spellStart"/>
      <w:r>
        <w:rPr>
          <w:rFonts w:ascii="Calibri" w:eastAsia="Calibri" w:hAnsi="Calibri" w:cs="Calibri"/>
        </w:rPr>
        <w:t>określić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zużycie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za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ostatni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okres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musisz</w:t>
      </w:r>
      <w:proofErr w:type="spellEnd"/>
      <w:r>
        <w:rPr>
          <w:rFonts w:ascii="Calibri" w:eastAsia="Calibri" w:hAnsi="Calibri" w:cs="Calibri"/>
        </w:rPr>
        <w:t xml:space="preserve"> od </w:t>
      </w:r>
      <w:proofErr w:type="spellStart"/>
      <w:r>
        <w:rPr>
          <w:rFonts w:ascii="Calibri" w:eastAsia="Calibri" w:hAnsi="Calibri" w:cs="Calibri"/>
        </w:rPr>
        <w:t>bieżąceg</w:t>
      </w:r>
      <w:r>
        <w:rPr>
          <w:rFonts w:ascii="Calibri" w:eastAsia="Calibri" w:hAnsi="Calibri" w:cs="Calibri"/>
        </w:rPr>
        <w:t>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odczytu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odjąć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odczyt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poprzedni</w:t>
      </w:r>
      <w:proofErr w:type="spellEnd"/>
      <w:r>
        <w:rPr>
          <w:rFonts w:ascii="Calibri" w:eastAsia="Calibri" w:hAnsi="Calibri" w:cs="Calibri"/>
        </w:rPr>
        <w:t xml:space="preserve">. </w:t>
      </w:r>
    </w:p>
    <w:p w:rsidR="00263E23" w:rsidRDefault="008B1766">
      <w:pPr>
        <w:numPr>
          <w:ilvl w:val="0"/>
          <w:numId w:val="1"/>
        </w:numPr>
        <w:spacing w:after="120"/>
        <w:ind w:left="714" w:hanging="357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Sprawdź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cenę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jednostkową</w:t>
      </w:r>
      <w:proofErr w:type="spellEnd"/>
      <w:r>
        <w:rPr>
          <w:rFonts w:ascii="Calibri" w:eastAsia="Calibri" w:hAnsi="Calibri" w:cs="Calibri"/>
        </w:rPr>
        <w:t xml:space="preserve"> (</w:t>
      </w:r>
      <w:proofErr w:type="spellStart"/>
      <w:r>
        <w:rPr>
          <w:rFonts w:ascii="Calibri" w:eastAsia="Calibri" w:hAnsi="Calibri" w:cs="Calibri"/>
        </w:rPr>
        <w:t>cenę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za</w:t>
      </w:r>
      <w:proofErr w:type="spellEnd"/>
      <w:r>
        <w:rPr>
          <w:rFonts w:ascii="Calibri" w:eastAsia="Calibri" w:hAnsi="Calibri" w:cs="Calibri"/>
        </w:rPr>
        <w:t xml:space="preserve"> kWh), aby </w:t>
      </w:r>
      <w:proofErr w:type="spellStart"/>
      <w:r>
        <w:rPr>
          <w:rFonts w:ascii="Calibri" w:eastAsia="Calibri" w:hAnsi="Calibri" w:cs="Calibri"/>
        </w:rPr>
        <w:t>wypełnić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kolumnę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kosztów</w:t>
      </w:r>
      <w:proofErr w:type="spellEnd"/>
      <w:r>
        <w:rPr>
          <w:rFonts w:ascii="Calibri" w:eastAsia="Calibri" w:hAnsi="Calibri" w:cs="Calibri"/>
        </w:rPr>
        <w:t xml:space="preserve">. </w:t>
      </w:r>
    </w:p>
    <w:p w:rsidR="00263E23" w:rsidRDefault="008B1766">
      <w:pPr>
        <w:numPr>
          <w:ilvl w:val="0"/>
          <w:numId w:val="1"/>
        </w:numPr>
        <w:spacing w:after="120"/>
        <w:ind w:left="714" w:hanging="357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Przekaż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dane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osobie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odpowiedzialnej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za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odczyty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w </w:t>
      </w:r>
      <w:proofErr w:type="spellStart"/>
      <w:r>
        <w:rPr>
          <w:rFonts w:ascii="Calibri" w:eastAsia="Calibri" w:hAnsi="Calibri" w:cs="Calibri"/>
        </w:rPr>
        <w:t>razie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potrzeby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zwróć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się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poradę</w:t>
      </w:r>
      <w:proofErr w:type="spellEnd"/>
      <w:r>
        <w:rPr>
          <w:rFonts w:ascii="Calibri" w:eastAsia="Calibri" w:hAnsi="Calibri" w:cs="Calibri"/>
        </w:rPr>
        <w:t xml:space="preserve">. </w:t>
      </w:r>
    </w:p>
    <w:p w:rsidR="00263E23" w:rsidRDefault="008B1766">
      <w:pPr>
        <w:numPr>
          <w:ilvl w:val="0"/>
          <w:numId w:val="1"/>
        </w:numPr>
        <w:ind w:left="720" w:hanging="360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Odczyty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liczników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gazu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mogą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wskazywać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zużycie</w:t>
      </w:r>
      <w:proofErr w:type="spellEnd"/>
      <w:r>
        <w:rPr>
          <w:rFonts w:ascii="Calibri" w:eastAsia="Calibri" w:hAnsi="Calibri" w:cs="Calibri"/>
        </w:rPr>
        <w:t xml:space="preserve"> w </w:t>
      </w:r>
      <w:proofErr w:type="spellStart"/>
      <w:r>
        <w:rPr>
          <w:rFonts w:ascii="Calibri" w:eastAsia="Calibri" w:hAnsi="Calibri" w:cs="Calibri"/>
        </w:rPr>
        <w:t>jednostkach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ob</w:t>
      </w:r>
      <w:r>
        <w:rPr>
          <w:rFonts w:ascii="Calibri" w:eastAsia="Calibri" w:hAnsi="Calibri" w:cs="Calibri"/>
        </w:rPr>
        <w:t>jętości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muszą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więc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być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skorygowane</w:t>
      </w:r>
      <w:proofErr w:type="spellEnd"/>
      <w:r>
        <w:rPr>
          <w:rFonts w:ascii="Calibri" w:eastAsia="Calibri" w:hAnsi="Calibri" w:cs="Calibri"/>
        </w:rPr>
        <w:t xml:space="preserve"> z </w:t>
      </w:r>
      <w:proofErr w:type="spellStart"/>
      <w:r>
        <w:rPr>
          <w:rFonts w:ascii="Calibri" w:eastAsia="Calibri" w:hAnsi="Calibri" w:cs="Calibri"/>
        </w:rPr>
        <w:t>uwzględnieniem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zmian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temperatury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ciśnienia</w:t>
      </w:r>
      <w:proofErr w:type="spellEnd"/>
      <w:r>
        <w:rPr>
          <w:rFonts w:ascii="Calibri" w:eastAsia="Calibri" w:hAnsi="Calibri" w:cs="Calibri"/>
        </w:rPr>
        <w:t xml:space="preserve"> (</w:t>
      </w:r>
      <w:proofErr w:type="spellStart"/>
      <w:r>
        <w:rPr>
          <w:rFonts w:ascii="Calibri" w:eastAsia="Calibri" w:hAnsi="Calibri" w:cs="Calibri"/>
        </w:rPr>
        <w:t>chyba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że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licznik</w:t>
      </w:r>
      <w:proofErr w:type="spellEnd"/>
      <w:r>
        <w:rPr>
          <w:rFonts w:ascii="Calibri" w:eastAsia="Calibri" w:hAnsi="Calibri" w:cs="Calibri"/>
        </w:rPr>
        <w:t xml:space="preserve"> ma </w:t>
      </w:r>
      <w:proofErr w:type="spellStart"/>
      <w:r>
        <w:rPr>
          <w:rFonts w:ascii="Calibri" w:eastAsia="Calibri" w:hAnsi="Calibri" w:cs="Calibri"/>
        </w:rPr>
        <w:t>wbudowany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mechanizm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korekty</w:t>
      </w:r>
      <w:proofErr w:type="spellEnd"/>
      <w:r>
        <w:rPr>
          <w:rFonts w:ascii="Calibri" w:eastAsia="Calibri" w:hAnsi="Calibri" w:cs="Calibri"/>
        </w:rPr>
        <w:t xml:space="preserve">) </w:t>
      </w:r>
      <w:proofErr w:type="spellStart"/>
      <w:r>
        <w:rPr>
          <w:rFonts w:ascii="Calibri" w:eastAsia="Calibri" w:hAnsi="Calibri" w:cs="Calibri"/>
        </w:rPr>
        <w:t>oraz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wartości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opałowej</w:t>
      </w:r>
      <w:proofErr w:type="spellEnd"/>
      <w:r>
        <w:rPr>
          <w:rFonts w:ascii="Calibri" w:eastAsia="Calibri" w:hAnsi="Calibri" w:cs="Calibri"/>
        </w:rPr>
        <w:t xml:space="preserve"> – </w:t>
      </w:r>
      <w:proofErr w:type="spellStart"/>
      <w:r>
        <w:rPr>
          <w:rFonts w:ascii="Calibri" w:eastAsia="Calibri" w:hAnsi="Calibri" w:cs="Calibri"/>
        </w:rPr>
        <w:t>poproś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eksperta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START2ACT</w:t>
      </w:r>
      <w:proofErr w:type="spellEnd"/>
      <w:r>
        <w:rPr>
          <w:rFonts w:ascii="Calibri" w:eastAsia="Calibri" w:hAnsi="Calibri" w:cs="Calibri"/>
        </w:rPr>
        <w:t xml:space="preserve"> o </w:t>
      </w:r>
      <w:proofErr w:type="spellStart"/>
      <w:r>
        <w:rPr>
          <w:rFonts w:ascii="Calibri" w:eastAsia="Calibri" w:hAnsi="Calibri" w:cs="Calibri"/>
        </w:rPr>
        <w:t>pomoc</w:t>
      </w:r>
      <w:proofErr w:type="spellEnd"/>
      <w:r>
        <w:rPr>
          <w:rFonts w:ascii="Calibri" w:eastAsia="Calibri" w:hAnsi="Calibri" w:cs="Calibri"/>
        </w:rPr>
        <w:t xml:space="preserve">. </w:t>
      </w:r>
    </w:p>
    <w:p w:rsidR="00263E23" w:rsidRDefault="00263E23">
      <w:pPr>
        <w:spacing w:after="0" w:line="240" w:lineRule="auto"/>
        <w:rPr>
          <w:rFonts w:ascii="Calibri" w:eastAsia="Calibri" w:hAnsi="Calibri" w:cs="Calibri"/>
        </w:rPr>
      </w:pPr>
    </w:p>
    <w:p w:rsidR="00263E23" w:rsidRDefault="008B1766">
      <w:pPr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t>Rejestr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miesięcznego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zużycia</w:t>
      </w:r>
      <w:proofErr w:type="spellEnd"/>
      <w:r>
        <w:rPr>
          <w:rFonts w:ascii="Calibri" w:eastAsia="Calibri" w:hAnsi="Calibri" w:cs="Calibri"/>
          <w:b/>
        </w:rPr>
        <w:t xml:space="preserve"> (</w:t>
      </w:r>
      <w:proofErr w:type="spellStart"/>
      <w:r>
        <w:rPr>
          <w:rFonts w:ascii="Calibri" w:eastAsia="Calibri" w:hAnsi="Calibri" w:cs="Calibri"/>
          <w:b/>
        </w:rPr>
        <w:t>energia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elektryczna</w:t>
      </w:r>
      <w:proofErr w:type="spellEnd"/>
      <w:r>
        <w:rPr>
          <w:rFonts w:ascii="Calibri" w:eastAsia="Calibri" w:hAnsi="Calibri" w:cs="Calibri"/>
          <w:b/>
        </w:rPr>
        <w:t xml:space="preserve">)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32"/>
        <w:gridCol w:w="3179"/>
        <w:gridCol w:w="2969"/>
      </w:tblGrid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vMerge w:val="restart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auto" w:fill="000000"/>
            <w:tcMar>
              <w:left w:w="108" w:type="dxa"/>
              <w:right w:w="108" w:type="dxa"/>
            </w:tcMar>
          </w:tcPr>
          <w:p w:rsidR="00263E23" w:rsidRDefault="008B1766">
            <w:pPr>
              <w:spacing w:after="0" w:line="240" w:lineRule="auto"/>
              <w:jc w:val="center"/>
              <w:rPr>
                <w:rFonts w:ascii="Arial" w:eastAsia="Arial" w:hAnsi="Arial" w:cs="Arial"/>
                <w:color w:val="FFFFFF"/>
                <w:sz w:val="36"/>
              </w:rPr>
            </w:pPr>
            <w:proofErr w:type="spellStart"/>
            <w:r>
              <w:rPr>
                <w:rFonts w:ascii="Calibri" w:eastAsia="Calibri" w:hAnsi="Calibri" w:cs="Calibri"/>
                <w:color w:val="FFFFFF"/>
                <w:sz w:val="24"/>
              </w:rPr>
              <w:t>rozliczan</w:t>
            </w:r>
            <w:r>
              <w:rPr>
                <w:rFonts w:ascii="Calibri" w:eastAsia="Calibri" w:hAnsi="Calibri" w:cs="Calibri"/>
                <w:color w:val="FFFFFF"/>
                <w:sz w:val="24"/>
              </w:rPr>
              <w:t>y</w:t>
            </w:r>
            <w:proofErr w:type="spellEnd"/>
            <w:r>
              <w:rPr>
                <w:rFonts w:ascii="Calibri" w:eastAsia="Calibri" w:hAnsi="Calibri" w:cs="Calibri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FFFFFF"/>
                <w:sz w:val="24"/>
              </w:rPr>
              <w:t>okres</w:t>
            </w:r>
            <w:proofErr w:type="spellEnd"/>
            <w:r>
              <w:rPr>
                <w:rFonts w:ascii="Calibri" w:eastAsia="Calibri" w:hAnsi="Calibri" w:cs="Calibri"/>
                <w:color w:val="FFFFFF"/>
                <w:sz w:val="24"/>
              </w:rPr>
              <w:t xml:space="preserve"> </w:t>
            </w:r>
          </w:p>
          <w:p w:rsidR="00263E23" w:rsidRDefault="008B1766">
            <w:pPr>
              <w:spacing w:after="0" w:line="240" w:lineRule="auto"/>
              <w:jc w:val="center"/>
            </w:pPr>
            <w:r>
              <w:rPr>
                <w:rFonts w:ascii="Calibri" w:eastAsia="Calibri" w:hAnsi="Calibri" w:cs="Calibri"/>
                <w:color w:val="FFFFFF"/>
                <w:sz w:val="20"/>
              </w:rPr>
              <w:t xml:space="preserve">np. 14 </w:t>
            </w:r>
            <w:proofErr w:type="spellStart"/>
            <w:r>
              <w:rPr>
                <w:rFonts w:ascii="Calibri" w:eastAsia="Calibri" w:hAnsi="Calibri" w:cs="Calibri"/>
                <w:color w:val="FFFFFF"/>
                <w:sz w:val="20"/>
              </w:rPr>
              <w:t>września</w:t>
            </w:r>
            <w:proofErr w:type="spellEnd"/>
            <w:r>
              <w:rPr>
                <w:rFonts w:ascii="Calibri" w:eastAsia="Calibri" w:hAnsi="Calibri" w:cs="Calibri"/>
                <w:color w:val="FFFFFF"/>
                <w:sz w:val="20"/>
              </w:rPr>
              <w:t xml:space="preserve"> - 15 </w:t>
            </w:r>
            <w:proofErr w:type="spellStart"/>
            <w:r>
              <w:rPr>
                <w:rFonts w:ascii="Calibri" w:eastAsia="Calibri" w:hAnsi="Calibri" w:cs="Calibri"/>
                <w:color w:val="FFFFFF"/>
                <w:sz w:val="20"/>
              </w:rPr>
              <w:t>października</w:t>
            </w:r>
            <w:proofErr w:type="spellEnd"/>
            <w:r>
              <w:rPr>
                <w:rFonts w:ascii="Calibri" w:eastAsia="Calibri" w:hAnsi="Calibri" w:cs="Calibri"/>
                <w:color w:val="FFFFFF"/>
                <w:sz w:val="20"/>
              </w:rPr>
              <w:t xml:space="preserve"> 2016 </w:t>
            </w:r>
          </w:p>
        </w:tc>
        <w:tc>
          <w:tcPr>
            <w:tcW w:w="6360" w:type="dxa"/>
            <w:gridSpan w:val="2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auto" w:fill="000000"/>
            <w:tcMar>
              <w:left w:w="108" w:type="dxa"/>
              <w:right w:w="108" w:type="dxa"/>
            </w:tcMar>
          </w:tcPr>
          <w:p w:rsidR="00263E23" w:rsidRDefault="008B176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FFFFFF"/>
                <w:sz w:val="24"/>
              </w:rPr>
              <w:t>rachunek</w:t>
            </w:r>
            <w:proofErr w:type="spellEnd"/>
            <w:r>
              <w:rPr>
                <w:rFonts w:ascii="Calibri" w:eastAsia="Calibri" w:hAnsi="Calibri" w:cs="Calibri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FFFFFF"/>
                <w:sz w:val="24"/>
              </w:rPr>
              <w:t>za</w:t>
            </w:r>
            <w:proofErr w:type="spellEnd"/>
            <w:r>
              <w:rPr>
                <w:rFonts w:ascii="Calibri" w:eastAsia="Calibri" w:hAnsi="Calibri" w:cs="Calibri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FFFFFF"/>
                <w:sz w:val="24"/>
              </w:rPr>
              <w:t>energię</w:t>
            </w:r>
            <w:proofErr w:type="spellEnd"/>
            <w:r>
              <w:rPr>
                <w:rFonts w:ascii="Calibri" w:eastAsia="Calibri" w:hAnsi="Calibri" w:cs="Calibri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FFFFFF"/>
                <w:sz w:val="24"/>
              </w:rPr>
              <w:t>elektryczną</w:t>
            </w:r>
            <w:proofErr w:type="spellEnd"/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vMerge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auto" w:fill="000000"/>
            <w:tcMar>
              <w:left w:w="108" w:type="dxa"/>
              <w:right w:w="108" w:type="dxa"/>
            </w:tcMar>
          </w:tcPr>
          <w:p w:rsidR="00263E23" w:rsidRDefault="00263E23">
            <w:pPr>
              <w:spacing w:after="2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auto" w:fill="000000"/>
            <w:tcMar>
              <w:left w:w="108" w:type="dxa"/>
              <w:right w:w="108" w:type="dxa"/>
            </w:tcMar>
          </w:tcPr>
          <w:p w:rsidR="00263E23" w:rsidRDefault="008B176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zużycie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 xml:space="preserve"> (kWh)</w:t>
            </w: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auto" w:fill="000000"/>
            <w:tcMar>
              <w:left w:w="108" w:type="dxa"/>
              <w:right w:w="108" w:type="dxa"/>
            </w:tcMar>
          </w:tcPr>
          <w:p w:rsidR="00263E23" w:rsidRDefault="008B176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łączne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opłaty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za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energię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koszt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)</w:t>
            </w: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8B176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ŁĄCZNIE</w:t>
            </w:r>
            <w:proofErr w:type="spellEnd"/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8B176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kWh/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rok</w:t>
            </w:r>
            <w:proofErr w:type="spellEnd"/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8B176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koszt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/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rok</w:t>
            </w:r>
            <w:proofErr w:type="spellEnd"/>
          </w:p>
        </w:tc>
      </w:tr>
    </w:tbl>
    <w:p w:rsidR="00263E23" w:rsidRDefault="00263E23">
      <w:pPr>
        <w:rPr>
          <w:rFonts w:ascii="Calibri" w:eastAsia="Calibri" w:hAnsi="Calibri" w:cs="Calibri"/>
        </w:rPr>
      </w:pPr>
    </w:p>
    <w:p w:rsidR="00263E23" w:rsidRDefault="008B1766">
      <w:pPr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t>Rejestr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tygodniowego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zużycia</w:t>
      </w:r>
      <w:proofErr w:type="spellEnd"/>
      <w:r>
        <w:rPr>
          <w:rFonts w:ascii="Calibri" w:eastAsia="Calibri" w:hAnsi="Calibri" w:cs="Calibri"/>
          <w:b/>
        </w:rPr>
        <w:t xml:space="preserve"> (</w:t>
      </w:r>
      <w:proofErr w:type="spellStart"/>
      <w:r>
        <w:rPr>
          <w:rFonts w:ascii="Calibri" w:eastAsia="Calibri" w:hAnsi="Calibri" w:cs="Calibri"/>
          <w:b/>
        </w:rPr>
        <w:t>gaz</w:t>
      </w:r>
      <w:proofErr w:type="spellEnd"/>
      <w:r>
        <w:rPr>
          <w:rFonts w:ascii="Calibri" w:eastAsia="Calibri" w:hAnsi="Calibri" w:cs="Calibri"/>
          <w:b/>
        </w:rPr>
        <w:t>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0"/>
        <w:gridCol w:w="3175"/>
        <w:gridCol w:w="2965"/>
      </w:tblGrid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vMerge w:val="restart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auto" w:fill="000000"/>
            <w:tcMar>
              <w:left w:w="108" w:type="dxa"/>
              <w:right w:w="108" w:type="dxa"/>
            </w:tcMar>
          </w:tcPr>
          <w:p w:rsidR="00263E23" w:rsidRDefault="008B1766">
            <w:pPr>
              <w:spacing w:after="0" w:line="240" w:lineRule="auto"/>
              <w:jc w:val="center"/>
              <w:rPr>
                <w:rFonts w:ascii="Arial" w:eastAsia="Arial" w:hAnsi="Arial" w:cs="Arial"/>
                <w:color w:val="FFFFFF"/>
                <w:sz w:val="36"/>
              </w:rPr>
            </w:pPr>
            <w:proofErr w:type="spellStart"/>
            <w:r>
              <w:rPr>
                <w:rFonts w:ascii="Calibri" w:eastAsia="Calibri" w:hAnsi="Calibri" w:cs="Calibri"/>
                <w:color w:val="FFFFFF"/>
                <w:sz w:val="24"/>
              </w:rPr>
              <w:t>rozliczany</w:t>
            </w:r>
            <w:proofErr w:type="spellEnd"/>
            <w:r>
              <w:rPr>
                <w:rFonts w:ascii="Calibri" w:eastAsia="Calibri" w:hAnsi="Calibri" w:cs="Calibri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FFFFFF"/>
                <w:sz w:val="24"/>
              </w:rPr>
              <w:t>okres</w:t>
            </w:r>
            <w:proofErr w:type="spellEnd"/>
            <w:r>
              <w:rPr>
                <w:rFonts w:ascii="Calibri" w:eastAsia="Calibri" w:hAnsi="Calibri" w:cs="Calibri"/>
                <w:color w:val="FFFFFF"/>
                <w:sz w:val="24"/>
              </w:rPr>
              <w:t xml:space="preserve"> </w:t>
            </w:r>
          </w:p>
          <w:p w:rsidR="00263E23" w:rsidRDefault="008B1766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FFFF"/>
                <w:sz w:val="20"/>
              </w:rPr>
            </w:pPr>
            <w:r>
              <w:rPr>
                <w:rFonts w:ascii="Calibri" w:eastAsia="Calibri" w:hAnsi="Calibri" w:cs="Calibri"/>
                <w:color w:val="FFFFFF"/>
                <w:sz w:val="20"/>
              </w:rPr>
              <w:t xml:space="preserve">np. </w:t>
            </w:r>
            <w:proofErr w:type="spellStart"/>
            <w:r>
              <w:rPr>
                <w:rFonts w:ascii="Calibri" w:eastAsia="Calibri" w:hAnsi="Calibri" w:cs="Calibri"/>
                <w:color w:val="FFFFFF"/>
                <w:sz w:val="20"/>
              </w:rPr>
              <w:t>tydzień</w:t>
            </w:r>
            <w:proofErr w:type="spellEnd"/>
            <w:r>
              <w:rPr>
                <w:rFonts w:ascii="Calibri" w:eastAsia="Calibri" w:hAnsi="Calibri" w:cs="Calibri"/>
                <w:color w:val="FFFFFF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FFFFFF"/>
                <w:sz w:val="20"/>
              </w:rPr>
              <w:t>rozpoczynający</w:t>
            </w:r>
            <w:proofErr w:type="spellEnd"/>
            <w:r>
              <w:rPr>
                <w:rFonts w:ascii="Calibri" w:eastAsia="Calibri" w:hAnsi="Calibri" w:cs="Calibri"/>
                <w:color w:val="FFFFFF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FFFFFF"/>
                <w:sz w:val="20"/>
              </w:rPr>
              <w:t>się</w:t>
            </w:r>
            <w:proofErr w:type="spellEnd"/>
            <w:r>
              <w:rPr>
                <w:rFonts w:ascii="Calibri" w:eastAsia="Calibri" w:hAnsi="Calibri" w:cs="Calibri"/>
                <w:color w:val="FFFFFF"/>
                <w:sz w:val="20"/>
              </w:rPr>
              <w:t xml:space="preserve"> </w:t>
            </w:r>
          </w:p>
          <w:p w:rsidR="00263E23" w:rsidRDefault="008B1766">
            <w:pPr>
              <w:spacing w:after="0" w:line="240" w:lineRule="auto"/>
              <w:jc w:val="center"/>
            </w:pPr>
            <w:r>
              <w:rPr>
                <w:rFonts w:ascii="Calibri" w:eastAsia="Calibri" w:hAnsi="Calibri" w:cs="Calibri"/>
                <w:color w:val="FFFFFF"/>
                <w:sz w:val="20"/>
              </w:rPr>
              <w:t xml:space="preserve">14 </w:t>
            </w:r>
            <w:proofErr w:type="spellStart"/>
            <w:r>
              <w:rPr>
                <w:rFonts w:ascii="Calibri" w:eastAsia="Calibri" w:hAnsi="Calibri" w:cs="Calibri"/>
                <w:color w:val="FFFFFF"/>
                <w:sz w:val="20"/>
              </w:rPr>
              <w:t>września</w:t>
            </w:r>
            <w:proofErr w:type="spellEnd"/>
            <w:r>
              <w:rPr>
                <w:rFonts w:ascii="Calibri" w:eastAsia="Calibri" w:hAnsi="Calibri" w:cs="Calibri"/>
                <w:color w:val="FFFFFF"/>
                <w:sz w:val="20"/>
              </w:rPr>
              <w:t xml:space="preserve"> 2016</w:t>
            </w:r>
          </w:p>
        </w:tc>
        <w:tc>
          <w:tcPr>
            <w:tcW w:w="6360" w:type="dxa"/>
            <w:gridSpan w:val="2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auto" w:fill="000000"/>
            <w:tcMar>
              <w:left w:w="108" w:type="dxa"/>
              <w:right w:w="108" w:type="dxa"/>
            </w:tcMar>
          </w:tcPr>
          <w:p w:rsidR="00263E23" w:rsidRDefault="008B176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FFFFFF"/>
                <w:sz w:val="24"/>
              </w:rPr>
              <w:t>rachunek</w:t>
            </w:r>
            <w:proofErr w:type="spellEnd"/>
            <w:r>
              <w:rPr>
                <w:rFonts w:ascii="Calibri" w:eastAsia="Calibri" w:hAnsi="Calibri" w:cs="Calibri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FFFFFF"/>
                <w:sz w:val="24"/>
              </w:rPr>
              <w:t>za</w:t>
            </w:r>
            <w:proofErr w:type="spellEnd"/>
            <w:r>
              <w:rPr>
                <w:rFonts w:ascii="Calibri" w:eastAsia="Calibri" w:hAnsi="Calibri" w:cs="Calibri"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FFFFFF"/>
                <w:sz w:val="24"/>
              </w:rPr>
              <w:t>gaz</w:t>
            </w:r>
            <w:proofErr w:type="spellEnd"/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vMerge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auto" w:fill="000000"/>
            <w:tcMar>
              <w:left w:w="108" w:type="dxa"/>
              <w:right w:w="108" w:type="dxa"/>
            </w:tcMar>
          </w:tcPr>
          <w:p w:rsidR="00263E23" w:rsidRDefault="00263E23">
            <w:pPr>
              <w:spacing w:after="20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auto" w:fill="000000"/>
            <w:tcMar>
              <w:left w:w="108" w:type="dxa"/>
              <w:right w:w="108" w:type="dxa"/>
            </w:tcMar>
          </w:tcPr>
          <w:p w:rsidR="00263E23" w:rsidRDefault="008B176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zużycie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 xml:space="preserve"> (kWh)</w:t>
            </w: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auto" w:fill="000000"/>
            <w:tcMar>
              <w:left w:w="108" w:type="dxa"/>
              <w:right w:w="108" w:type="dxa"/>
            </w:tcMar>
          </w:tcPr>
          <w:p w:rsidR="00263E23" w:rsidRDefault="008B176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łączne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opłaty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za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energię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lastRenderedPageBreak/>
              <w:t>(</w:t>
            </w:r>
            <w:proofErr w:type="spellStart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koszt</w:t>
            </w:r>
            <w:proofErr w:type="spellEnd"/>
            <w:r>
              <w:rPr>
                <w:rFonts w:ascii="Calibri" w:eastAsia="Calibri" w:hAnsi="Calibri" w:cs="Calibri"/>
                <w:b/>
                <w:color w:val="FFFFFF"/>
                <w:sz w:val="24"/>
              </w:rPr>
              <w:t>)</w:t>
            </w: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263E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63E23">
        <w:tblPrEx>
          <w:tblCellMar>
            <w:top w:w="0" w:type="dxa"/>
            <w:bottom w:w="0" w:type="dxa"/>
          </w:tblCellMar>
        </w:tblPrEx>
        <w:tc>
          <w:tcPr>
            <w:tcW w:w="3126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8B176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ŁĄCZNIE</w:t>
            </w:r>
            <w:proofErr w:type="spellEnd"/>
          </w:p>
        </w:tc>
        <w:tc>
          <w:tcPr>
            <w:tcW w:w="3287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8B176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kWh/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rok</w:t>
            </w:r>
            <w:proofErr w:type="spellEnd"/>
          </w:p>
        </w:tc>
        <w:tc>
          <w:tcPr>
            <w:tcW w:w="3073" w:type="dxa"/>
            <w:tcBorders>
              <w:top w:val="single" w:sz="4" w:space="0" w:color="DBDBDB"/>
              <w:left w:val="single" w:sz="4" w:space="0" w:color="DBDBDB"/>
              <w:bottom w:val="single" w:sz="4" w:space="0" w:color="DBDBDB"/>
              <w:right w:val="single" w:sz="4" w:space="0" w:color="DBDBDB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E23" w:rsidRDefault="008B176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koszt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/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rok</w:t>
            </w:r>
            <w:proofErr w:type="spellEnd"/>
          </w:p>
        </w:tc>
      </w:tr>
    </w:tbl>
    <w:p w:rsidR="00263E23" w:rsidRDefault="00263E23">
      <w:pPr>
        <w:rPr>
          <w:rFonts w:ascii="Calibri" w:eastAsia="Calibri" w:hAnsi="Calibri" w:cs="Calibri"/>
        </w:rPr>
      </w:pPr>
    </w:p>
    <w:sectPr w:rsidR="00263E2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766" w:rsidRDefault="008B1766" w:rsidP="008B1766">
      <w:pPr>
        <w:spacing w:after="0" w:line="240" w:lineRule="auto"/>
      </w:pPr>
      <w:r>
        <w:separator/>
      </w:r>
    </w:p>
  </w:endnote>
  <w:endnote w:type="continuationSeparator" w:id="0">
    <w:p w:rsidR="008B1766" w:rsidRDefault="008B1766" w:rsidP="008B1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766" w:rsidRDefault="008B1766" w:rsidP="008B1766">
      <w:pPr>
        <w:spacing w:after="0" w:line="240" w:lineRule="auto"/>
      </w:pPr>
      <w:r>
        <w:separator/>
      </w:r>
    </w:p>
  </w:footnote>
  <w:footnote w:type="continuationSeparator" w:id="0">
    <w:p w:rsidR="008B1766" w:rsidRDefault="008B1766" w:rsidP="008B1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766" w:rsidRPr="008B1766" w:rsidRDefault="008B1766" w:rsidP="008B1766">
    <w:pPr>
      <w:pStyle w:val="Header"/>
    </w:pPr>
    <w:r>
      <w:object w:dxaOrig="16883" w:dyaOrig="1889">
        <v:rect id="rectole0000000002" o:spid="_x0000_i1029" style="width:453pt;height:51pt" o:ole="" o:preferrelative="t" stroked="f">
          <v:imagedata r:id="rId1" o:title=""/>
        </v:rect>
        <o:OLEObject Type="Embed" ProgID="StaticMetafile" ShapeID="rectole0000000002" DrawAspect="Content" ObjectID="_1559037155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1E44F8"/>
    <w:multiLevelType w:val="multilevel"/>
    <w:tmpl w:val="1D664C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3E23"/>
    <w:rsid w:val="00263E23"/>
    <w:rsid w:val="008B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  <w15:docId w15:val="{C0E0786D-647B-4E0F-8E0E-38440B0FD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1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1766"/>
  </w:style>
  <w:style w:type="paragraph" w:styleId="Footer">
    <w:name w:val="footer"/>
    <w:basedOn w:val="Normal"/>
    <w:link w:val="FooterChar"/>
    <w:uiPriority w:val="99"/>
    <w:unhideWhenUsed/>
    <w:rsid w:val="008B1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Frohnmaier</cp:lastModifiedBy>
  <cp:revision>2</cp:revision>
  <dcterms:created xsi:type="dcterms:W3CDTF">2017-06-15T11:05:00Z</dcterms:created>
  <dcterms:modified xsi:type="dcterms:W3CDTF">2017-06-15T11:05:00Z</dcterms:modified>
</cp:coreProperties>
</file>